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DF8A" w14:textId="77777777" w:rsidR="00013034" w:rsidRPr="000B138D" w:rsidRDefault="00013034" w:rsidP="0001303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</w:pP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მუხლი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8. </w:t>
      </w:r>
    </w:p>
    <w:p w14:paraId="08FE4F02" w14:textId="5B65EA6B" w:rsidR="00013034" w:rsidRPr="000B138D" w:rsidRDefault="00013034" w:rsidP="0001303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</w:pP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აღიარებითი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რეჟიმით</w:t>
      </w:r>
      <w:proofErr w:type="spellEnd"/>
    </w:p>
    <w:p w14:paraId="1F29B933" w14:textId="6280E06B" w:rsidR="00013034" w:rsidRPr="000B138D" w:rsidRDefault="00013034" w:rsidP="0001303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</w:pP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პირველადი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მოთხოვნები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და</w:t>
      </w:r>
      <w:proofErr w:type="spellEnd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  <w:t>პროცედურები</w:t>
      </w:r>
      <w:proofErr w:type="spellEnd"/>
    </w:p>
    <w:p w14:paraId="052E46FC" w14:textId="77777777" w:rsidR="00013034" w:rsidRPr="000B138D" w:rsidRDefault="00013034" w:rsidP="0001303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Sylfaen" w:eastAsia="Sylfaen_PDF_Subset" w:hAnsi="Sylfaen" w:cs="Sylfaen_PDF_Subset"/>
          <w:b/>
          <w:bCs/>
          <w:color w:val="000000"/>
          <w:sz w:val="24"/>
          <w:szCs w:val="24"/>
        </w:rPr>
      </w:pPr>
    </w:p>
    <w:p w14:paraId="023A0D44" w14:textId="60080B49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  <w:lang w:val="ka-GE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1.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აღიარებითი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რეჟიმი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გამოიყენება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proofErr w:type="gramStart"/>
      <w:r w:rsidRPr="000B138D">
        <w:rPr>
          <w:rFonts w:ascii="Sylfaen" w:eastAsia="Sylfaen_PDF_Subset" w:hAnsi="Sylfaen" w:cs="Sylfaen_PDF_Subset"/>
          <w:color w:val="000000"/>
        </w:rPr>
        <w:t>იმ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proofErr w:type="gram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მიმართ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რომელიც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სხვა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ქვეყნის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სახელმწიფოთაშორისი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მარეგულირებელი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ორგანოს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დაშვებულია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შესაბამის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ბაზარზე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</w:p>
    <w:p w14:paraId="2285FBA9" w14:textId="601B3FF6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2.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სხვა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ქვეყნების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სახელმწიფოთაშორისი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მარეგულირებელი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ორგანოების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სია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რეგისტრირებული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აღიარების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მიზნით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განსაზღვრულია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„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სხვა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ქვეყნების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სახელმწიფოთაშორისი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დანიშნულების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მარეგულირებელი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ორგანოების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განსაზღვრის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proofErr w:type="gramStart"/>
      <w:r w:rsidRPr="000B138D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“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საქართველოს</w:t>
      </w:r>
      <w:proofErr w:type="spellEnd"/>
      <w:proofErr w:type="gram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მთავრობის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2009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წლის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11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ნოემბრის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№205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დადგენილებით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p w14:paraId="0C2A9F49" w14:textId="646F390B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>3.</w:t>
      </w:r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აღიარებითი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რეჟიმით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პირველადი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რეგისტრაციისას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მაძიებელმა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წარადგინოს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შემდეგი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დოკუმენტები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:</w:t>
      </w:r>
    </w:p>
    <w:p w14:paraId="29AF32C3" w14:textId="2303D0D5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ა)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განცხადება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რომელიც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აკმაყოფილებდეს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საქართველოს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ზოგადი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ადმინისტრაციული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კოდექსის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0B138D">
        <w:rPr>
          <w:rFonts w:ascii="Sylfaen" w:eastAsia="Sylfaen_PDF_Subset" w:hAnsi="Sylfaen" w:cs="Sylfaen_PDF_Subset"/>
          <w:color w:val="000000"/>
        </w:rPr>
        <w:t xml:space="preserve">78-ე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მუხლით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დადგენილ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მოთხოვნებს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თანდართული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საძიებლით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გვერდების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მითითებით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);</w:t>
      </w:r>
    </w:p>
    <w:p w14:paraId="4555044B" w14:textId="71E96CE7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  <w:lang w:val="ka-GE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ბ)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გამოყენების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ინსტრუქციის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ნოტარიულად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დამოწმებული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თარგმანი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ქართულ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ენაზე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მატერიალურ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ფორმასთან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ერთად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წარმოდგენილი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იქნეს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ინსტრუქციის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ქართულენოვანი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თარგმანი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ელექტრონული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ვერსიის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, Word-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ფორმატით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კომპაქტდისკზე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>.</w:t>
      </w:r>
    </w:p>
    <w:p w14:paraId="3F370116" w14:textId="77777777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  <w:lang w:val="ka-GE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გ)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სტანდარტული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შეფუთვა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ეტიკეტი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ელექტრონული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ვერსიის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სახით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>.</w:t>
      </w:r>
    </w:p>
    <w:p w14:paraId="5B2B069A" w14:textId="5EC17875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  <w:lang w:val="ka-GE"/>
        </w:rPr>
      </w:pPr>
      <w:r w:rsidRPr="000B138D">
        <w:rPr>
          <w:rFonts w:ascii="Sylfaen" w:eastAsia="Sylfaen_PDF_Subset" w:hAnsi="Sylfaen" w:cs="Sylfaen_PDF_Subset"/>
          <w:color w:val="000000"/>
        </w:rPr>
        <w:t>დ)</w:t>
      </w:r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დამადასტურებელი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რომელშიც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მითითებული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იქნება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სხვა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ქვეყნის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სახელმწიფოთაშორისო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მარეგულირებელი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ორგანოს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შესაბამის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ბაზარზე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დაშვების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შესაბამის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ბაზარზე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დაშვების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უნიკალური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0B138D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ავტორიზაციის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ნომერი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;</w:t>
      </w:r>
    </w:p>
    <w:p w14:paraId="2202B882" w14:textId="57ED2A4A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ე)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კარგი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საწარმოო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პრაქტიკის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(GMP)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სერტიფიკატი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;</w:t>
      </w:r>
    </w:p>
    <w:p w14:paraId="79ABD293" w14:textId="5D566F00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ვ)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ანალიზის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მეთოდები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რომლებიც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შეიძლება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ამობეჭდილი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იყოს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საჯაროდ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ხელმისაწვდომი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წყაროდან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0B138D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ფარმაკოპეიდან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ამ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წყაროს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მითითებით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;</w:t>
      </w:r>
    </w:p>
    <w:p w14:paraId="377DD437" w14:textId="29D2C404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ზ)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ნიმუში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2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სტანდარტული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შეფუთვა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შესაბამისი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ხარისხის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სერტიფიკატით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ანოტაცია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ჩანართი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ფურცელი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ქართულ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ენაზე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;</w:t>
      </w:r>
    </w:p>
    <w:p w14:paraId="772A2701" w14:textId="27273E03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თ)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რეზიუმე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(Summary of Product Characteristics)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ინგლისურ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ენაზე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სხვა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ენების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შემთხვევაში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ნოტარიულად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დამოწმებული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ქართულენოვანი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თარგმანი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;</w:t>
      </w:r>
    </w:p>
    <w:p w14:paraId="2D118CEE" w14:textId="4916A700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ი)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მომსახურების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საფასურის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გადახდის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დამადასტურებელი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p w14:paraId="294614A9" w14:textId="05118A9D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4.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დოკუმენტაცია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გარდა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ინსტრუქციისა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წარდგენილი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იქნეს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ქართულ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რუსულ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ინგლისურ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ენაზე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p w14:paraId="308EDD73" w14:textId="0CFF53D3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5.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მაძიებლის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წარდგენილი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ეტიკეტი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ანოტაცია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r w:rsidRPr="000B138D">
        <w:rPr>
          <w:rFonts w:ascii="Sylfaen" w:eastAsia="Sylfaen_PDF_Subset" w:hAnsi="Sylfaen" w:cs="Sylfaen_PDF_Subset"/>
          <w:color w:val="000000"/>
        </w:rPr>
        <w:t>(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ჩანართი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ფურცელი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უნდა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შეიცავდეს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ამ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წესის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მე-11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მუხლით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გათვალისწინებულ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ინფორმაციას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p w14:paraId="64F57991" w14:textId="07DBD75E" w:rsidR="00013034" w:rsidRPr="000B138D" w:rsidRDefault="00013034" w:rsidP="00243AC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6.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აღიარებითი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რეჟიმით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რეგისტრირდება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20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სამუშაო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დღის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ვადაში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p w14:paraId="612C026E" w14:textId="3A3F6E44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7.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სარეგისტრაციო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ექსპერტიზის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დროს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გამოვლენილი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ხარვეზის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გამოსასწორებლად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,</w:t>
      </w:r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მაძიებელს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ეძლევა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30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სამუშაო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დღემდე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;</w:t>
      </w:r>
    </w:p>
    <w:p w14:paraId="5AE9830E" w14:textId="2E75EB6A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lastRenderedPageBreak/>
        <w:t xml:space="preserve">8.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ხარვეზის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გამოსწორებამდე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მომსახურების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გაწევის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დინება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შეჩერებულად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ითვლება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  <w:r w:rsid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მომსახურების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გაწევის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დინება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განახლდება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მაძიებლის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ხარვეზის</w:t>
      </w:r>
      <w:proofErr w:type="spellEnd"/>
      <w:r w:rsid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გამოსასწორებლად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/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ინფორმაციის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წარდგენისთანავე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p w14:paraId="19C05762" w14:textId="7CD50AA2" w:rsidR="00013034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9.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თუ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ხარვეზის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გამოსასწორებლად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წარდგენილ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დოკუმენტაციაში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/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ინფორმაციაში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კვლავ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დაფიქსირდა</w:t>
      </w:r>
      <w:proofErr w:type="spellEnd"/>
      <w:r w:rsid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ხარვეზი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სააგენტო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ხარვეზის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ერთჯერადად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წერილობით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აცნობებს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მაძიებელს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ხარვეზის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აღმოსაფხვრელად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აძლევს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ამ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მუხლის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მე-7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პუნქტით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განსაზღვრული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30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დღემდე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ვადიდან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დარჩენილ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დროს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აღნიშნულ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ვადაში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ხარვეზის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გამოუსწორებლობის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შემთხვევაში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სააგენტო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იღებს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გადაწყვეტილებას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აღიარებითი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რეჟიმით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პირველად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რეგისტრაციაზე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უარის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თქმის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p w14:paraId="2D123028" w14:textId="77777777" w:rsidR="00243ACD" w:rsidRDefault="00013034" w:rsidP="00243AC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10.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ექსპერტიზის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დასრულებიდან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5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სამუშაო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დღის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ვადაში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სააგენტო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იღებს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გადაწყვეტილებას</w:t>
      </w:r>
      <w:proofErr w:type="spellEnd"/>
      <w:r w:rsid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აღიარებითი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რეჟიმით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პირველადი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გასცემს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სარეგისტრაციო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დოკუმენტს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(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ბრძანება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)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ინფორმაციას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რეგისტრირებული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შესახებ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განთავსებს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რეესტრში.</w:t>
      </w:r>
      <w:proofErr w:type="spellEnd"/>
    </w:p>
    <w:p w14:paraId="450629E1" w14:textId="785616FC" w:rsidR="00013034" w:rsidRPr="000B138D" w:rsidRDefault="00243ACD" w:rsidP="00243AC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>
        <w:rPr>
          <w:rFonts w:ascii="Sylfaen" w:eastAsia="Sylfaen_PDF_Subset" w:hAnsi="Sylfaen" w:cs="Sylfaen_PDF_Subset"/>
          <w:color w:val="000000"/>
          <w:lang w:val="ka-GE"/>
        </w:rPr>
        <w:t xml:space="preserve">11.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აღიარებითი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რეჟიმით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რეგისტრირებული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პრეპარატი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საქართველოში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რეგისტრირდება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სხვა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ქვეყნის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ან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სახელმწიფოთაშორისო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მარეგულირებელი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ორგანოს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მიერ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შესაბამის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ბაზარზე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დაშვების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ვადით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ამ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ვადის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გასვლის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შემდეგ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,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მიმოქცევა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დასაშვებია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ვარგისობის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ვადის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="00013034" w:rsidRPr="000B138D">
        <w:rPr>
          <w:rFonts w:ascii="Sylfaen" w:eastAsia="Sylfaen_PDF_Subset" w:hAnsi="Sylfaen" w:cs="Sylfaen_PDF_Subset"/>
          <w:color w:val="000000"/>
        </w:rPr>
        <w:t>ამოწურვამდე</w:t>
      </w:r>
      <w:proofErr w:type="spellEnd"/>
      <w:r w:rsidR="00013034" w:rsidRPr="000B138D">
        <w:rPr>
          <w:rFonts w:ascii="Sylfaen" w:eastAsia="Sylfaen_PDF_Subset" w:hAnsi="Sylfaen" w:cs="Sylfaen_PDF_Subset"/>
          <w:color w:val="000000"/>
        </w:rPr>
        <w:t>.</w:t>
      </w:r>
    </w:p>
    <w:p w14:paraId="384300EE" w14:textId="1A984EFF" w:rsidR="000B138D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12.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ამოწურვა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იწვევს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სარეგისტრაციო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ბრძანების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გაუქმებას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p w14:paraId="2544C5BB" w14:textId="1F7A21DC" w:rsidR="0002441F" w:rsidRPr="000B138D" w:rsidRDefault="00013034" w:rsidP="000B138D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Sylfaen" w:eastAsia="Sylfaen_PDF_Subset" w:hAnsi="Sylfaen" w:cs="Sylfaen_PDF_Subset"/>
          <w:color w:val="000000"/>
        </w:rPr>
      </w:pPr>
      <w:r w:rsidRPr="000B138D">
        <w:rPr>
          <w:rFonts w:ascii="Sylfaen" w:eastAsia="Sylfaen_PDF_Subset" w:hAnsi="Sylfaen" w:cs="Sylfaen_PDF_Subset"/>
          <w:color w:val="000000"/>
        </w:rPr>
        <w:t xml:space="preserve">13.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სახელმწიფო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ეროვნული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რეჟიმით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პირველადად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რეგისტრირებული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ვადის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ამოწურვის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შემთხვევაში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,</w:t>
      </w:r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რეგისტრაციის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გაუქმება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ვრცელდება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საქართველოს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ბაზარზე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დაშვებული</w:t>
      </w:r>
      <w:proofErr w:type="spellEnd"/>
      <w:r w:rsidRPr="000B138D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ამ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ვეტერინარული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პრეპარატის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ყველა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სახის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 xml:space="preserve"> </w:t>
      </w:r>
      <w:proofErr w:type="spellStart"/>
      <w:r w:rsidRPr="000B138D">
        <w:rPr>
          <w:rFonts w:ascii="Sylfaen" w:eastAsia="Sylfaen_PDF_Subset" w:hAnsi="Sylfaen" w:cs="Sylfaen_PDF_Subset"/>
          <w:color w:val="000000"/>
        </w:rPr>
        <w:t>შეფუთვაზე</w:t>
      </w:r>
      <w:proofErr w:type="spellEnd"/>
      <w:r w:rsidRPr="000B138D">
        <w:rPr>
          <w:rFonts w:ascii="Sylfaen" w:eastAsia="Sylfaen_PDF_Subset" w:hAnsi="Sylfaen" w:cs="Sylfaen_PDF_Subset"/>
          <w:color w:val="000000"/>
        </w:rPr>
        <w:t>.</w:t>
      </w:r>
    </w:p>
    <w:sectPr w:rsidR="0002441F" w:rsidRPr="000B138D" w:rsidSect="00013034"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81"/>
    <w:rsid w:val="00013034"/>
    <w:rsid w:val="0002441F"/>
    <w:rsid w:val="000B138D"/>
    <w:rsid w:val="00243ACD"/>
    <w:rsid w:val="00610D81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4A9B"/>
  <w15:chartTrackingRefBased/>
  <w15:docId w15:val="{E9144056-2A3E-46EB-96FC-497D92DF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3874</Characters>
  <Application>Microsoft Office Word</Application>
  <DocSecurity>0</DocSecurity>
  <Lines>32</Lines>
  <Paragraphs>9</Paragraphs>
  <ScaleCrop>false</ScaleCrop>
  <Company>MEPA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Patieshvili</dc:creator>
  <cp:keywords/>
  <dc:description/>
  <cp:lastModifiedBy>Ana Patieshvili</cp:lastModifiedBy>
  <cp:revision>10</cp:revision>
  <cp:lastPrinted>2023-11-28T13:17:00Z</cp:lastPrinted>
  <dcterms:created xsi:type="dcterms:W3CDTF">2023-11-28T13:08:00Z</dcterms:created>
  <dcterms:modified xsi:type="dcterms:W3CDTF">2023-12-01T07:23:00Z</dcterms:modified>
</cp:coreProperties>
</file>